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36A97"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岗位招聘表</w:t>
      </w:r>
    </w:p>
    <w:tbl>
      <w:tblPr>
        <w:tblStyle w:val="6"/>
        <w:tblW w:w="9546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333"/>
        <w:gridCol w:w="6561"/>
      </w:tblGrid>
      <w:tr w14:paraId="196D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52" w:type="dxa"/>
            <w:noWrap w:val="0"/>
            <w:vAlign w:val="center"/>
          </w:tcPr>
          <w:p w14:paraId="3C02EF30">
            <w:pPr>
              <w:pStyle w:val="4"/>
              <w:widowControl w:val="0"/>
              <w:ind w:left="0" w:leftChars="0" w:firstLine="28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333" w:type="dxa"/>
            <w:noWrap w:val="0"/>
            <w:vAlign w:val="center"/>
          </w:tcPr>
          <w:p w14:paraId="16805000">
            <w:pPr>
              <w:pStyle w:val="4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招聘</w:t>
            </w:r>
          </w:p>
          <w:p w14:paraId="70807330">
            <w:pPr>
              <w:pStyle w:val="4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6561" w:type="dxa"/>
            <w:noWrap w:val="0"/>
            <w:vAlign w:val="center"/>
          </w:tcPr>
          <w:p w14:paraId="3E8F3413">
            <w:pPr>
              <w:pStyle w:val="4"/>
              <w:widowControl w:val="0"/>
              <w:ind w:firstLine="28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任职要求</w:t>
            </w:r>
          </w:p>
        </w:tc>
      </w:tr>
      <w:tr w14:paraId="5BB1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652" w:type="dxa"/>
            <w:noWrap w:val="0"/>
            <w:vAlign w:val="center"/>
          </w:tcPr>
          <w:p w14:paraId="627229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法务</w:t>
            </w:r>
          </w:p>
        </w:tc>
        <w:tc>
          <w:tcPr>
            <w:tcW w:w="1333" w:type="dxa"/>
            <w:noWrap w:val="0"/>
            <w:vAlign w:val="center"/>
          </w:tcPr>
          <w:p w14:paraId="653D62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61" w:type="dxa"/>
            <w:noWrap w:val="0"/>
            <w:vAlign w:val="center"/>
          </w:tcPr>
          <w:p w14:paraId="51FEE66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1、35周岁及以下，本科及以上学历，法学等相关专业；</w:t>
            </w:r>
          </w:p>
          <w:p w14:paraId="14A70D6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2、具有律师、司法从业资格证，3年以上法律事务工作经验；</w:t>
            </w:r>
          </w:p>
          <w:p w14:paraId="2A35F0E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3、熟悉合同法、公司法、知识产权法、以及公司并购、资产重组、融资上市的流程及法律运作；</w:t>
            </w:r>
          </w:p>
          <w:p w14:paraId="7DE695C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4、具有争议解决实力，熟悉诉讼和仲裁程序，具有良好的表达能力与文字能力。</w:t>
            </w:r>
          </w:p>
        </w:tc>
      </w:tr>
      <w:tr w14:paraId="34E0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652" w:type="dxa"/>
            <w:noWrap w:val="0"/>
            <w:vAlign w:val="center"/>
          </w:tcPr>
          <w:p w14:paraId="7D7CF5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  <w:t>财务</w:t>
            </w:r>
          </w:p>
          <w:p w14:paraId="4FE683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-SA"/>
              </w:rPr>
              <w:t>（精算师）</w:t>
            </w:r>
          </w:p>
        </w:tc>
        <w:tc>
          <w:tcPr>
            <w:tcW w:w="1333" w:type="dxa"/>
            <w:noWrap w:val="0"/>
            <w:vAlign w:val="center"/>
          </w:tcPr>
          <w:p w14:paraId="0B4EC44B">
            <w:pPr>
              <w:pStyle w:val="4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61" w:type="dxa"/>
            <w:noWrap w:val="0"/>
            <w:vAlign w:val="center"/>
          </w:tcPr>
          <w:p w14:paraId="4A009B8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1、35周岁及以下，本科及以上学历，精算学、金融学、经济学等相关专业；</w:t>
            </w:r>
          </w:p>
          <w:p w14:paraId="56D68EB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2、2年及以上精算相关工作经验，能熟练运用精算软件与数据库，有较强的逻辑思维能力、敏锐度与抗压能力；</w:t>
            </w:r>
          </w:p>
          <w:p w14:paraId="20168EB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3、有独立负责过产品定价、偿付能力评估、资产负债管理等项目者优先，有精算师等相关资质者优先。</w:t>
            </w:r>
          </w:p>
        </w:tc>
      </w:tr>
    </w:tbl>
    <w:p w14:paraId="759B5CFA">
      <w:pPr>
        <w:rPr>
          <w:color w:val="auto"/>
        </w:rPr>
      </w:pPr>
    </w:p>
    <w:p w14:paraId="1475F51A"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B76C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E057C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057C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spacing w:after="120"/>
      <w:ind w:firstLine="420" w:firstLineChars="100"/>
    </w:pPr>
    <w:rPr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2025-09-01T08:11:18Z</dcterms:created>
  <dc:creator>Administrator</dc:creator>
  <cp:lastModifiedBy>善逝</cp:lastModifiedBy>
  <dcterms:modified xsi:type="dcterms:W3CDTF">2025-09-01T08:11:26Z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402675F0C8964C1F942D4365909710DF_12</vt:lpwstr>
  </property>
</Properties>
</file>